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c5d415763e4b7a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15202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VUKOMEREC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2.645.050,39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2.956.284,58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2.573.040,93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3.006.054,42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116,8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49.769,84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153.365,34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61.362,26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153.365,34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61.362,26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40,0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81.355,88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111.132,10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136,6</w:t>
            </w:r>
          </w:p>
        </w:tc>
      </w:tr>
    </w:tbl>
    <w:p>
      <w:pPr>
        <w:spacing w:before="0" w:after="0"/>
      </w:pPr>
    </w:p>
    <w:p>
      <w:r>
        <w:br/>
      </w:r>
      <w:r>
        <w:t xml:space="preserve">Osnovna škola Vukomerce posluje u skladu sa Zakonom o odgoju i obrazovanju u osnovnoj i srednjoj školi te Statutom škole. Vodi proračunsko računovodstvo temeljem Pravilnika o proračunskom računovodstvu i Računskom planu, a financijske izvještaje sastavlja i predaje u skladu s odredbama Pravilnika o financijskom izvještavanju u proračunskom računovodstvu i Okružnice Ministarstva financija objavljenoj na web stranici Ministarstva.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2.645.050,39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2.956.284,58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111,8</w:t>
            </w:r>
          </w:p>
        </w:tc>
      </w:tr>
    </w:tbl>
    <w:p>
      <w:pPr>
        <w:spacing w:before="0" w:after="0"/>
      </w:pPr>
    </w:p>
    <w:p>
      <w:r>
        <w:t xml:space="preserve">Prihodi poslovanja škole ostvaruju se uz kontinuiranu i značajnu financijsku potporu Gradskog ureda za obrazovanje, sport i mlade te Ministarstva znanosti, obrazovanja i mladih, čime se osigurava stabilno i kvalitetno funkcioniranje odgojno-obrazovnog procesa.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2.573.040,93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3.006.054,42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116,8</w:t>
            </w:r>
          </w:p>
        </w:tc>
      </w:tr>
    </w:tbl>
    <w:p>
      <w:pPr>
        <w:spacing w:before="0" w:after="0"/>
      </w:pPr>
    </w:p>
    <w:p>
      <w:r>
        <w:t xml:space="preserve">Namjenska sredstva Gradskog ureda i Ministarstva znanosti, obrazovanja i mladih troše se planski, odgovorno i u potpunosti u skladu s utvrđenim financijskim planom i važećim propisima.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153.365,34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61.362,26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40,0</w:t>
            </w:r>
          </w:p>
        </w:tc>
      </w:tr>
    </w:tbl>
    <w:p>
      <w:pPr>
        <w:spacing w:before="0" w:after="0"/>
      </w:pPr>
    </w:p>
    <w:p>
      <w:r>
        <w:t xml:space="preserve">Gradski ured za obrazovanje, mlade i sport kontinuirano pruža potporu materijalno-pravnom statusu škole, čime značajno doprinosi njegovu unaprjeđenju i osiguravanju stabilnih uvjeta za rad i razvoj škole.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IMOVINA (šifre B002+1)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B001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913.367,66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1.266.711,26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138,7</w:t>
            </w:r>
          </w:p>
        </w:tc>
      </w:tr>
    </w:tbl>
    <w:p>
      <w:pPr>
        <w:spacing w:before="0" w:after="0"/>
      </w:pPr>
    </w:p>
    <w:p>
      <w:r>
        <w:t xml:space="preserve">Financijski položaj škole na dan bilance odražava stabilno poslovanje uz uredno izvršavanje preuzetih obveza i odgovorno upravljanje raspoloživim sredstvima u skladu s važećim propisima i financijskim planom.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rashodima prema funkcijskoj klasifikaciji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Osnovno obrazovanje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0912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2.726.406,27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2.893.551,81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106,1</w:t>
            </w:r>
          </w:p>
        </w:tc>
      </w:tr>
    </w:tbl>
    <w:p>
      <w:pPr>
        <w:spacing w:before="0" w:after="0"/>
      </w:pPr>
    </w:p>
    <w:p>
      <w:r>
        <w:t xml:space="preserve">Osnovno obrazovanje predstavlja temeljni i nezamjenjiv segment društvenog razvoja, zbog čega je kontinuirano i odgovorno ulaganje u obrazovanje na razini proračuna od ključne važnosti za dugoročnu dobrobit zajednice.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Promjene u vrijednosti i obujmu imovine (šifre 91511+91512)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Zahvaljujući potpori Gradskog ureda za financije i javnu nabavu i dodjeli prijenosnog računala, povećana je vrijednost imovine škole te su unaprijeđeni uvjeti za kvalitetniji i učinkovitiji rad.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51.786,59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Stanje dospjelih obveza na kraju izvještajnog razdoblja iznosi 51.786,59 eura, a odnosi se na očekivane refundacije troškova udžbenika od Ministarstva znanosti, obrazovanja i mladih te na račune zaprimljene krajem izvještajnog razdoblja i početkom nove godine, koji su također predmet refundacije.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r>
        <w:t xml:space="preserve">Škola uspješno koristi sredstva Europske unije u okviru projekta „Školska shema – mlijeko“, čime se učenicima osigurava redovita dostupnost nutritivno vrijednih mliječnih proizvoda. Provedbom projekta doprinosi se promicanju zdravih prehrambenih navika, podizanju svijesti o važnosti pravilne prehrane te unaprjeđenju kvalitete školskog okruženja. Projekt se provodi u skladu s propisanim smjernicama i ciljevima, uz učinkovito korištenje dodijeljenih sredstava.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3b9ab5bf8444e2d" /></Relationships>
</file>